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3CF7" w:rsidRPr="00383A1D" w:rsidTr="00C33CF7">
        <w:trPr>
          <w:tblCellSpacing w:w="0" w:type="dxa"/>
        </w:trPr>
        <w:tc>
          <w:tcPr>
            <w:tcW w:w="0" w:type="auto"/>
            <w:hideMark/>
          </w:tcPr>
          <w:p w:rsidR="00C33CF7" w:rsidRPr="00C33CF7" w:rsidRDefault="00C33CF7" w:rsidP="00C33CF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33CF7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651AF751" wp14:editId="568EC3C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476500" cy="3181350"/>
                  <wp:effectExtent l="0" t="0" r="0" b="0"/>
                  <wp:wrapSquare wrapText="bothSides"/>
                  <wp:docPr id="1" name="Рисунок 3" descr="Сообщения Государственного Эрмитажа. [Вып.] XXIII. Л.: Изд-Во Гос. Эрмитажа. 196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общения Государственного Эрмитажа. [Вып.] XXIII. Л.: Изд-Во Гос. Эрмитажа. 196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CF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С.С. Сорокин</w:t>
            </w:r>
          </w:p>
          <w:p w:rsidR="00C33CF7" w:rsidRPr="00C33CF7" w:rsidRDefault="00C33CF7" w:rsidP="00C33CF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</w:pPr>
            <w:r w:rsidRPr="00C33CF7"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  <w:t xml:space="preserve">Доследование Большого </w:t>
            </w:r>
            <w:proofErr w:type="spellStart"/>
            <w:r w:rsidRPr="00C33CF7"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  <w:t>Берельского</w:t>
            </w:r>
            <w:proofErr w:type="spellEnd"/>
            <w:r w:rsidRPr="00C33CF7"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  <w:t xml:space="preserve"> кургана.</w:t>
            </w:r>
          </w:p>
          <w:p w:rsidR="00C33CF7" w:rsidRPr="00C33CF7" w:rsidRDefault="00C33CF7" w:rsidP="00C33CF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// </w:t>
            </w:r>
            <w:hyperlink r:id="rId5" w:anchor="023" w:history="1">
              <w:r w:rsidRPr="00C33CF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СГЭ. [ </w:t>
              </w:r>
              <w:proofErr w:type="spellStart"/>
              <w:r w:rsidRPr="00C33CF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Вып</w:t>
              </w:r>
              <w:proofErr w:type="spellEnd"/>
              <w:r w:rsidRPr="00C33CF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 ] XXIII.</w:t>
              </w:r>
            </w:hyperlink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Л.: 1962. С. 70-72.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Большой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Берельский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курган был исследован академиком В.В. Радловым ещё в 1865 г. Точной фиксации при раскопках не производилось. Поэтому до настоящего времени не было возможности составить полное представление об этом важном в археологическом отношении памятнике ни по архивным материалам, ни по данным, имеющимся в печати. </w:t>
            </w:r>
            <w:bookmarkStart w:id="1" w:name="_1"/>
            <w:r w:rsidRPr="00C33CF7">
              <w:rPr>
                <w:rFonts w:ascii="Arial" w:eastAsia="Times New Roman" w:hAnsi="Arial" w:cs="Arial"/>
                <w:lang w:eastAsia="ru-RU"/>
              </w:rPr>
              <w:fldChar w:fldCharType="begin"/>
            </w:r>
            <w:r w:rsidRPr="00C33CF7">
              <w:rPr>
                <w:rFonts w:ascii="Arial" w:eastAsia="Times New Roman" w:hAnsi="Arial" w:cs="Arial"/>
                <w:lang w:eastAsia="ru-RU"/>
              </w:rPr>
              <w:instrText xml:space="preserve"> HYPERLINK "http://kronk.spb.ru/library/sorokin-ss-1962.htm" \l "_n1" </w:instrText>
            </w:r>
            <w:r w:rsidRPr="00C33CF7">
              <w:rPr>
                <w:rFonts w:ascii="Arial" w:eastAsia="Times New Roman" w:hAnsi="Arial" w:cs="Arial"/>
                <w:lang w:eastAsia="ru-RU"/>
              </w:rPr>
              <w:fldChar w:fldCharType="separate"/>
            </w:r>
            <w:r w:rsidRPr="00C33CF7"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  <w:t>[1]</w:t>
            </w:r>
            <w:r w:rsidRPr="00C33CF7">
              <w:rPr>
                <w:rFonts w:ascii="Arial" w:eastAsia="Times New Roman" w:hAnsi="Arial" w:cs="Arial"/>
                <w:lang w:eastAsia="ru-RU"/>
              </w:rPr>
              <w:fldChar w:fldCharType="end"/>
            </w:r>
            <w:bookmarkEnd w:id="1"/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В 1959 г. мною проведено доследование Большого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Берельского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кургана. Экспедиция была организована Ленинградским отделением Института археологии АН СССР по инициативе С.И. Руденко. Предполагалось собрать материалы, документирующие конструкцию погребения, взять образцы древесины для радиокарбонного и дендрологического исследований, а также, если обстоятельства будут благоприятными, пополнить коллекцию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берельских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древностей новым материалом.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Могильник, к которому принадлежит Большой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Берельский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курган, состоит из полутора десятков каменных насыпей, расположенных тремя группами на плато, возвышающемся на 25 м над надпойменной террасой правого берега реки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Бухтармы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в 6 км ниже впадения в неё реки Белой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Берели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КазССР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Усть-Каменогорская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область,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Катон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>-Карагайский район). Климатические условия — холодные зимы, поздние весенние и ранние осенние заморозки, чистота воздуха и обилие влаги —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2" w:name="71"/>
            <w:bookmarkEnd w:id="2"/>
            <w:r w:rsidRPr="00C33CF7">
              <w:rPr>
                <w:rFonts w:ascii="Arial" w:eastAsia="Times New Roman" w:hAnsi="Arial" w:cs="Arial"/>
                <w:lang w:eastAsia="ru-RU"/>
              </w:rPr>
              <w:t>(70/71)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благоприятствуют образованию здесь линз многолетней мерзлоты под большими каменными насыпями. Большой курган к моменту раскопок 1959 г. представлял собой каменный кольцеобразный вал шириной 6-7 м, высотой 2 м и внешним диаметром около </w:t>
            </w:r>
            <w:proofErr w:type="gramStart"/>
            <w:r w:rsidRPr="00C33CF7">
              <w:rPr>
                <w:rFonts w:ascii="Arial" w:eastAsia="Times New Roman" w:hAnsi="Arial" w:cs="Arial"/>
                <w:lang w:eastAsia="ru-RU"/>
              </w:rPr>
              <w:t>30  м.</w:t>
            </w:r>
            <w:proofErr w:type="gram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Исследование этого вала показало, что насыпь кургана первоначально имела 20 м в диаметре и около 7 м высоты. Раскопки могильной ямы, доведённые до материка, пополнили коллекцию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берельских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древностей некоторым количеством находок (были обнаружены обломки лиственничного саркофага, тёсаные брусья от погребальной камеры, обрывки берёсты), а также позволили получить новые данные, касающиеся конструкции погребения, которую теперь можно себе представить с достаточной полнотой и точностью.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На подготовленной у края плато площадке была вырыта ориентированная длинной осью по линии </w:t>
            </w:r>
            <w:proofErr w:type="gramStart"/>
            <w:r w:rsidRPr="00C33CF7">
              <w:rPr>
                <w:rFonts w:ascii="Arial" w:eastAsia="Times New Roman" w:hAnsi="Arial" w:cs="Arial"/>
                <w:lang w:eastAsia="ru-RU"/>
              </w:rPr>
              <w:t>С-Ю</w:t>
            </w:r>
            <w:proofErr w:type="gram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прямоугольная могильная яма размером 6×7 м в плане и глубиной 5,5 м. В её южном крае было сделано также прямоугольное в плане углубление 5×2,5 м, глубиной около 1 м, ориентированное длинной осью по линии З-В. Дно этого углубления оказалось на таком уровне, где вода уже сильно выступала из почвы, и пропитанная влагой песчанистая материковая глина приобрела характер плывуна. Весьма вероятно, что края углубления начали оплывать уже тогда, когда яму только ещё готовили для погребения. Это обстоятельство могло определить, </w:t>
            </w:r>
            <w:proofErr w:type="gramStart"/>
            <w:r w:rsidRPr="00C33CF7">
              <w:rPr>
                <w:rFonts w:ascii="Arial" w:eastAsia="Times New Roman" w:hAnsi="Arial" w:cs="Arial"/>
                <w:lang w:eastAsia="ru-RU"/>
              </w:rPr>
              <w:t>и по всей вероятности</w:t>
            </w:r>
            <w:proofErr w:type="gram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определило, некоторые черты конструкции погребального сооружения.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Прежде всего в углублении была устроена камера из толстых тёсаных лиственничных брусьев, уложенных по два один на другой вдоль длинных стен и укрепленных в распор такими же, но более короткими брусьями вдоль коротких сторон. Такую камеру, устроенную в яме, стены которой оплывали, нельзя было перекрыть накатом из жердей и брёвен, положенных прямо на брусья или на грунт, — накат неминуемо должен был раздавить и стенки камеры и края ямы и осесть прямо на крышку саркофага. Недостаточно было также </w:t>
            </w:r>
            <w:r w:rsidRPr="00C33CF7">
              <w:rPr>
                <w:rFonts w:ascii="Arial" w:eastAsia="Times New Roman" w:hAnsi="Arial" w:cs="Arial"/>
                <w:lang w:eastAsia="ru-RU"/>
              </w:rPr>
              <w:lastRenderedPageBreak/>
              <w:t xml:space="preserve">опереть перекрытие на толстые брёвна-переводы, положенные без какого-либо дополнительного укрепления. Плывущий грунт не позволил ограничиться такой конструкцией, и внутри камеры по её углам были выложены из плоских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подквадратной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или квадратной формы камней невысокие столбики, которые и послужили надёжной опорой для балок, поддерживавших перекрытие. Для того, чтобы земля не проникла в камеру, перекрытие сверху было застлано берёстой.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Благодаря исследованию 1959 г. собран также материал, который позволяет составить правильное общее представление о конструкции гроба-саркофага. Из половины толстого лиственничного ствола была выдолблена вся нижняя часть саркофага. Затем её борта надстроили тёсаными слегка выгнутыми досками. Крышка, видимо, была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цельнодолблёная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>. Саркофаг был обтянут берёстой и украшен бронзовыми фигурками мифических птиц.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Относительно устройства северной части могилы, в которой были погребены лошади, числом 16, ничего дополнительного к сказочному в отчётах В.В. Радлова, доследование 1959 г. не дало.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Для целей радиокарбонного анализа в Ленинградское отделение Института археологии доставлены образцы древесины как из верхних горизонтов заполнения могильной ямы, где древнее дерево проросло корнями выросших после раскопок В.В. Радлова деревьев, так и из нижнего горизонта, куда корни деревьев не проникли. Собраны также образцы обгорелого древнего дерева. Для целей дендрологического анализа с западного и восточного склонов долины и с плато, на котором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2"/>
              <w:gridCol w:w="6373"/>
            </w:tblGrid>
            <w:tr w:rsidR="00C33CF7" w:rsidRPr="00C33CF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33CF7" w:rsidRPr="00C33CF7" w:rsidRDefault="00C33CF7" w:rsidP="00C33CF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  <w:p w:rsidR="00C33CF7" w:rsidRPr="00C33CF7" w:rsidRDefault="00C33CF7" w:rsidP="00C33CF7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DFA8676" wp14:editId="4F05216D">
                        <wp:extent cx="2219325" cy="3048000"/>
                        <wp:effectExtent l="0" t="0" r="9525" b="0"/>
                        <wp:docPr id="2" name="Рисунок 2" descr="http://kronk.spb.ru/img/sorokin-ss-1962-1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kronk.spb.ru/img/sorokin-ss-1962-1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33CF7" w:rsidRPr="00C33CF7" w:rsidRDefault="00C33CF7" w:rsidP="00C33CF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bookmarkStart w:id="3" w:name="72"/>
                  <w:bookmarkEnd w:id="3"/>
                  <w:r w:rsidRPr="00C33CF7">
                    <w:rPr>
                      <w:rFonts w:ascii="Arial" w:eastAsia="Times New Roman" w:hAnsi="Arial" w:cs="Arial"/>
                      <w:lang w:eastAsia="ru-RU"/>
                    </w:rPr>
                    <w:t>(71/72)</w:t>
                  </w:r>
                </w:p>
                <w:p w:rsidR="00C33CF7" w:rsidRPr="00C33CF7" w:rsidRDefault="00C33CF7" w:rsidP="00C33CF7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2E03428" wp14:editId="3E3DA90A">
                        <wp:extent cx="4762500" cy="3048000"/>
                        <wp:effectExtent l="0" t="0" r="0" b="0"/>
                        <wp:docPr id="3" name="Рисунок 3" descr="http://kronk.spb.ru/img/sorokin-ss-1962-2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kronk.spb.ru/img/sorokin-ss-1962-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3CF7" w:rsidRPr="00C33CF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33CF7" w:rsidRPr="00C33CF7" w:rsidRDefault="00C33CF7" w:rsidP="00C33CF7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Большой </w:t>
                  </w:r>
                  <w:proofErr w:type="spellStart"/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Берельский</w:t>
                  </w:r>
                  <w:proofErr w:type="spellEnd"/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курган (вид с юга).</w:t>
                  </w:r>
                </w:p>
                <w:p w:rsidR="00C33CF7" w:rsidRPr="00C33CF7" w:rsidRDefault="00C33CF7" w:rsidP="00C33CF7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</w:t>
                  </w:r>
                  <w:hyperlink r:id="rId8" w:tgtFrame="_blank" w:history="1">
                    <w:r w:rsidRPr="00C33CF7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Открыть в новом окне</w:t>
                    </w:r>
                  </w:hyperlink>
                  <w:r w:rsidRPr="00C33CF7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C33CF7" w:rsidRPr="00C33CF7" w:rsidRDefault="00C33CF7" w:rsidP="00C33CF7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Большой </w:t>
                  </w:r>
                  <w:proofErr w:type="spellStart"/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Берельский</w:t>
                  </w:r>
                  <w:proofErr w:type="spellEnd"/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курган.</w:t>
                  </w:r>
                  <w:r w:rsidRPr="00C33C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Разрез и реконструкция камеры по данным раскопок 1865 и 1959 гг.</w:t>
                  </w:r>
                </w:p>
                <w:p w:rsidR="00C33CF7" w:rsidRPr="00C33CF7" w:rsidRDefault="00C33CF7" w:rsidP="00C33CF7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3CF7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</w:t>
                  </w:r>
                  <w:hyperlink r:id="rId9" w:tgtFrame="_blank" w:history="1">
                    <w:r w:rsidRPr="00C33CF7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Открыть в новом окне</w:t>
                    </w:r>
                  </w:hyperlink>
                  <w:r w:rsidRPr="00C33CF7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 xml:space="preserve">расположен </w:t>
            </w:r>
            <w:proofErr w:type="spellStart"/>
            <w:r w:rsidRPr="00C33CF7">
              <w:rPr>
                <w:rFonts w:ascii="Arial" w:eastAsia="Times New Roman" w:hAnsi="Arial" w:cs="Arial"/>
                <w:lang w:eastAsia="ru-RU"/>
              </w:rPr>
              <w:t>Берельский</w:t>
            </w:r>
            <w:proofErr w:type="spellEnd"/>
            <w:r w:rsidRPr="00C33CF7">
              <w:rPr>
                <w:rFonts w:ascii="Arial" w:eastAsia="Times New Roman" w:hAnsi="Arial" w:cs="Arial"/>
                <w:lang w:eastAsia="ru-RU"/>
              </w:rPr>
              <w:t xml:space="preserve"> могильник, взяты поперечные срезы восьми сваленных нами лиственниц.</w: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33CF7" w:rsidRPr="00C33CF7" w:rsidRDefault="00383A1D" w:rsidP="00C3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154.35pt;height:.75pt" o:hrpct="330" o:hrstd="t" o:hr="t" fillcolor="#a0a0a0" stroked="f"/>
              </w:pict>
            </w:r>
          </w:p>
          <w:p w:rsidR="00C33CF7" w:rsidRPr="00C33CF7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3CF7">
              <w:rPr>
                <w:rFonts w:ascii="Arial" w:eastAsia="Times New Roman" w:hAnsi="Arial" w:cs="Arial"/>
                <w:lang w:eastAsia="ru-RU"/>
              </w:rPr>
              <w:t> </w:t>
            </w:r>
          </w:p>
          <w:bookmarkStart w:id="4" w:name="_n1"/>
          <w:p w:rsidR="00C33CF7" w:rsidRPr="00383A1D" w:rsidRDefault="00C33CF7" w:rsidP="00C33CF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"http://kronk.spb.ru/library/sorokin-ss-1962.htm" \l "_1" </w:instrText>
            </w: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C33CF7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>[1]</w:t>
            </w: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bookmarkEnd w:id="4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Архив ЛО ИА АН СССР; альбом рисунков, хранящийся в Музее антропологии и этнографии АН СССР; отчёт Археологической комиссии за 1865 г. W. </w:t>
            </w:r>
            <w:proofErr w:type="spellStart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Radloff</w:t>
            </w:r>
            <w:proofErr w:type="spellEnd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383A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Aus Sibirien, </w:t>
            </w:r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383A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II, Leipzig, 1884, </w:t>
            </w:r>
            <w:proofErr w:type="spellStart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spellEnd"/>
            <w:r w:rsidRPr="00383A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110, </w:t>
            </w:r>
            <w:proofErr w:type="spellStart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</w:t>
            </w:r>
            <w:proofErr w:type="spellEnd"/>
            <w:r w:rsidRPr="00383A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.; A. Zakharov. Materials on the Archaeology of Siberia (Dr. V.V. Radloffs Excavations in the Berel Steppe), ESA, III, Helsinki, 1928, </w:t>
            </w:r>
            <w:proofErr w:type="spellStart"/>
            <w:r w:rsidRPr="00C33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spellEnd"/>
            <w:r w:rsidRPr="00383A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 132-140.</w:t>
            </w:r>
          </w:p>
          <w:p w:rsidR="00C33CF7" w:rsidRPr="00383A1D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 w:rsidRPr="00383A1D">
              <w:rPr>
                <w:rFonts w:ascii="Arial" w:eastAsia="Times New Roman" w:hAnsi="Arial" w:cs="Arial"/>
                <w:lang w:val="en-US" w:eastAsia="ru-RU"/>
              </w:rPr>
              <w:t> </w:t>
            </w:r>
          </w:p>
          <w:p w:rsidR="00C33CF7" w:rsidRPr="00383A1D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 w:rsidRPr="00383A1D">
              <w:rPr>
                <w:rFonts w:ascii="Arial" w:eastAsia="Times New Roman" w:hAnsi="Arial" w:cs="Arial"/>
                <w:lang w:val="en-US" w:eastAsia="ru-RU"/>
              </w:rPr>
              <w:lastRenderedPageBreak/>
              <w:t> </w:t>
            </w:r>
          </w:p>
          <w:p w:rsidR="00C33CF7" w:rsidRPr="00383A1D" w:rsidRDefault="00C33CF7" w:rsidP="00C33C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 w:rsidRPr="00383A1D">
              <w:rPr>
                <w:rFonts w:ascii="Arial" w:eastAsia="Times New Roman" w:hAnsi="Arial" w:cs="Arial"/>
                <w:lang w:val="en-US" w:eastAsia="ru-RU"/>
              </w:rPr>
              <w:t> </w:t>
            </w:r>
          </w:p>
        </w:tc>
      </w:tr>
    </w:tbl>
    <w:p w:rsidR="00753715" w:rsidRPr="00383A1D" w:rsidRDefault="00753715">
      <w:pPr>
        <w:rPr>
          <w:lang w:val="en-US"/>
        </w:rPr>
      </w:pPr>
    </w:p>
    <w:sectPr w:rsidR="00753715" w:rsidRPr="0038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2B"/>
    <w:rsid w:val="00383A1D"/>
    <w:rsid w:val="00753715"/>
    <w:rsid w:val="00B73B2B"/>
    <w:rsid w:val="00C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7785-2CDB-4E62-AF65-B46EE62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nk.spb.ru/img/sorokin-ss-1962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kronk.spb.ru/library/sge.ht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kronk.spb.ru/img/sorokin-ss-1962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2023-08-31T10:42:00Z</dcterms:created>
  <dcterms:modified xsi:type="dcterms:W3CDTF">2023-08-31T10:42:00Z</dcterms:modified>
</cp:coreProperties>
</file>